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81755">
      <w:pPr>
        <w:keepNext w:val="0"/>
        <w:keepLines w:val="0"/>
        <w:pageBreakBefore w:val="0"/>
        <w:widowControl w:val="0"/>
        <w:tabs>
          <w:tab w:val="left" w:pos="2600"/>
        </w:tabs>
        <w:kinsoku/>
        <w:wordWrap/>
        <w:overflowPunct/>
        <w:topLinePunct w:val="0"/>
        <w:autoSpaceDE/>
        <w:autoSpaceDN/>
        <w:bidi w:val="0"/>
        <w:adjustRightInd/>
        <w:snapToGrid/>
        <w:spacing w:before="157" w:beforeLines="50" w:after="157" w:afterLines="50"/>
        <w:jc w:val="center"/>
        <w:textAlignment w:val="auto"/>
        <w:rPr>
          <w:rFonts w:ascii="仿宋" w:eastAsia="仿宋"/>
          <w:sz w:val="44"/>
        </w:rPr>
      </w:pPr>
      <w:r>
        <w:rPr>
          <w:rFonts w:hint="eastAsia" w:eastAsia="黑体"/>
          <w:sz w:val="44"/>
        </w:rPr>
        <w:t>招标公告</w:t>
      </w:r>
    </w:p>
    <w:p w14:paraId="061F49DE">
      <w:pPr>
        <w:keepNext w:val="0"/>
        <w:keepLines w:val="0"/>
        <w:pageBreakBefore w:val="0"/>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根据《中华人民共和国招投标法》等法律、法规的规定，现就</w:t>
      </w:r>
      <w:r>
        <w:rPr>
          <w:rFonts w:hint="eastAsia" w:ascii="仿宋_GB2312" w:hAnsi="仿宋_GB2312" w:eastAsia="仿宋_GB2312" w:cs="仿宋_GB2312"/>
          <w:sz w:val="28"/>
          <w:szCs w:val="28"/>
          <w:u w:val="single"/>
          <w:lang w:eastAsia="zh-CN"/>
        </w:rPr>
        <w:t>《技师教育》印刷采购</w:t>
      </w:r>
      <w:r>
        <w:rPr>
          <w:rFonts w:hint="eastAsia" w:ascii="仿宋_GB2312" w:hAnsi="仿宋_GB2312" w:eastAsia="仿宋_GB2312" w:cs="仿宋_GB2312"/>
          <w:sz w:val="28"/>
          <w:szCs w:val="28"/>
          <w:u w:val="none"/>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采购，欢迎合格的潜在投标人参加投标。</w:t>
      </w:r>
    </w:p>
    <w:p w14:paraId="278C478E">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rPr>
        <w:t>一、招标</w:t>
      </w:r>
      <w:r>
        <w:rPr>
          <w:rFonts w:hint="eastAsia" w:ascii="黑体" w:hAnsi="黑体" w:eastAsia="黑体" w:cs="黑体"/>
          <w:b/>
          <w:bCs/>
          <w:sz w:val="28"/>
          <w:szCs w:val="28"/>
          <w:lang w:eastAsia="zh-CN"/>
        </w:rPr>
        <w:t>需求</w:t>
      </w:r>
    </w:p>
    <w:p w14:paraId="22BB4AC6">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（一）</w:t>
      </w:r>
      <w:r>
        <w:rPr>
          <w:rFonts w:hint="eastAsia" w:ascii="仿宋_GB2312" w:hAnsi="仿宋_GB2312" w:eastAsia="仿宋_GB2312" w:cs="仿宋_GB2312"/>
          <w:b/>
          <w:bCs/>
          <w:sz w:val="28"/>
          <w:szCs w:val="28"/>
          <w:lang w:eastAsia="zh-CN"/>
        </w:rPr>
        <w:t>项目说明：</w:t>
      </w:r>
      <w:r>
        <w:rPr>
          <w:rFonts w:hint="eastAsia" w:ascii="仿宋_GB2312" w:hAnsi="仿宋_GB2312" w:eastAsia="仿宋_GB2312" w:cs="仿宋_GB2312"/>
          <w:sz w:val="28"/>
          <w:szCs w:val="28"/>
        </w:rPr>
        <w:t>《技师教育》为季刊，每年四期</w:t>
      </w:r>
      <w:r>
        <w:rPr>
          <w:rFonts w:hint="eastAsia" w:ascii="仿宋_GB2312" w:hAnsi="仿宋_GB2312" w:eastAsia="仿宋_GB2312" w:cs="仿宋_GB2312"/>
          <w:sz w:val="28"/>
          <w:szCs w:val="28"/>
          <w:lang w:eastAsia="zh-CN"/>
        </w:rPr>
        <w:t>。中标单位</w:t>
      </w:r>
      <w:r>
        <w:rPr>
          <w:rFonts w:hint="eastAsia" w:ascii="仿宋_GB2312" w:hAnsi="仿宋_GB2312" w:eastAsia="仿宋_GB2312" w:cs="仿宋_GB2312"/>
          <w:sz w:val="28"/>
          <w:szCs w:val="28"/>
        </w:rPr>
        <w:t>服务范围及内容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每一期《技师教育》的排版、设计和印刷；《技师教育》内部发行刊号的申请和批复；两个校区《技师教育》的运送；对外交流《技师教育》的投寄</w:t>
      </w:r>
      <w:r>
        <w:rPr>
          <w:rFonts w:hint="eastAsia" w:ascii="仿宋_GB2312" w:hAnsi="仿宋_GB2312" w:eastAsia="仿宋_GB2312" w:cs="仿宋_GB2312"/>
          <w:sz w:val="28"/>
          <w:szCs w:val="28"/>
          <w:lang w:eastAsia="zh-CN"/>
        </w:rPr>
        <w:t>等。</w:t>
      </w:r>
    </w:p>
    <w:p w14:paraId="5A3552E5">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（二）《技师教育》印刷要求</w:t>
      </w:r>
    </w:p>
    <w:p w14:paraId="7F0005D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1.开本:大16 开，210*285。</w:t>
      </w:r>
    </w:p>
    <w:p w14:paraId="05AABC6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2.印数:1200册/期。</w:t>
      </w:r>
    </w:p>
    <w:p w14:paraId="304EA15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3.字数:每期约10万字。</w:t>
      </w:r>
    </w:p>
    <w:p w14:paraId="68644F1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4.页数:每期 104 页。</w:t>
      </w:r>
    </w:p>
    <w:p w14:paraId="2D71D6D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5.纸张:内芯正文 70 克纯质纸单色印刷。</w:t>
      </w:r>
    </w:p>
    <w:p w14:paraId="2F55822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6.封面:250 克铜版纸彩印，覆膜、书名UV。</w:t>
      </w:r>
    </w:p>
    <w:p w14:paraId="4270864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7.装订:塑封胶装。</w:t>
      </w:r>
    </w:p>
    <w:p w14:paraId="3E51D57C">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二、投标人须具备的资格条件</w:t>
      </w:r>
    </w:p>
    <w:p w14:paraId="2A85C0A4">
      <w:pPr>
        <w:keepNext w:val="0"/>
        <w:keepLines w:val="0"/>
        <w:pageBreakBefore w:val="0"/>
        <w:widowControl w:val="0"/>
        <w:kinsoku/>
        <w:wordWrap/>
        <w:overflowPunct/>
        <w:topLinePunct w:val="0"/>
        <w:autoSpaceDE/>
        <w:autoSpaceDN/>
        <w:bidi w:val="0"/>
        <w:adjustRightInd/>
        <w:snapToGrid w:val="0"/>
        <w:spacing w:line="400" w:lineRule="exact"/>
        <w:ind w:firstLine="420" w:firstLineChars="15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14:paraId="0990E80D">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r>
        <w:rPr>
          <w:rFonts w:hint="eastAsia" w:ascii="仿宋_GB2312" w:eastAsia="仿宋_GB2312" w:cs="仿宋_GB2312"/>
          <w:b/>
          <w:bCs/>
          <w:color w:val="000000"/>
          <w:sz w:val="28"/>
          <w:szCs w:val="28"/>
        </w:rPr>
        <w:t>投标人必须有新闻出版行政主管部门核发的印刷经营许可证，范围包括出版物印刷。（提供证书复印件）</w:t>
      </w:r>
    </w:p>
    <w:p w14:paraId="16271954">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仿宋_GB2312" w:eastAsia="仿宋_GB2312" w:cs="仿宋_GB2312"/>
          <w:b/>
          <w:bCs/>
          <w:color w:val="000000"/>
          <w:sz w:val="28"/>
          <w:szCs w:val="28"/>
          <w:u w:val="single"/>
        </w:rPr>
      </w:pPr>
      <w:r>
        <w:rPr>
          <w:rFonts w:hint="eastAsia" w:ascii="仿宋_GB2312" w:eastAsia="仿宋_GB2312" w:cs="仿宋_GB2312"/>
          <w:color w:val="000000"/>
          <w:sz w:val="28"/>
          <w:szCs w:val="28"/>
        </w:rPr>
        <w:t>3.投标人报名和开标时必须携带有效的三证合一营业执照、</w:t>
      </w:r>
      <w:r>
        <w:rPr>
          <w:rFonts w:hint="eastAsia" w:ascii="仿宋_GB2312" w:eastAsia="仿宋_GB2312" w:cs="仿宋_GB2312"/>
          <w:b/>
          <w:bCs/>
          <w:color w:val="000000"/>
          <w:sz w:val="28"/>
          <w:szCs w:val="28"/>
          <w:lang w:eastAsia="zh-CN"/>
        </w:rPr>
        <w:t>《印刷经营许可证》</w:t>
      </w:r>
      <w:r>
        <w:rPr>
          <w:rFonts w:hint="eastAsia" w:ascii="仿宋_GB2312" w:eastAsia="仿宋_GB2312" w:cs="仿宋_GB2312"/>
          <w:color w:val="000000"/>
          <w:sz w:val="28"/>
          <w:szCs w:val="28"/>
        </w:rPr>
        <w:t>、法定代表人（盖章）的授权委托书、法定代表人身份证复印件（盖单位公章）、法定代表人身份证原件（委托的就携带法定代表人授权的委托人</w:t>
      </w:r>
      <w:r>
        <w:rPr>
          <w:rFonts w:hint="eastAsia" w:ascii="仿宋_GB2312" w:eastAsia="仿宋_GB2312" w:cs="仿宋_GB2312"/>
          <w:b/>
          <w:bCs/>
          <w:color w:val="000000"/>
          <w:sz w:val="28"/>
          <w:szCs w:val="28"/>
          <w:u w:val="single"/>
        </w:rPr>
        <w:t>的身份证原件，复印件盖单位公章）。</w:t>
      </w:r>
    </w:p>
    <w:p w14:paraId="1F5AC67B">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72C8FC6D">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rPr>
        <w:t>本项目不接受联合体投标，法定代表人为同一人或者存在直接控股、管理关系的不同投标人，不得同时参加本项目投标。</w:t>
      </w:r>
    </w:p>
    <w:p w14:paraId="5BC84207">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三、招标内容及要求</w:t>
      </w:r>
    </w:p>
    <w:p w14:paraId="6B16AC3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eastAsia="zh-CN"/>
        </w:rPr>
        <w:t>《技师教育》排版、设计和印刷等</w:t>
      </w:r>
      <w:r>
        <w:rPr>
          <w:rFonts w:hint="eastAsia" w:ascii="仿宋_GB2312" w:hAnsi="仿宋_GB2312" w:eastAsia="仿宋_GB2312" w:cs="仿宋_GB2312"/>
          <w:kern w:val="0"/>
          <w:sz w:val="28"/>
          <w:szCs w:val="28"/>
        </w:rPr>
        <w:t>。</w:t>
      </w:r>
    </w:p>
    <w:p w14:paraId="0E3D65D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质量标准：合格，按国家质量认证体系标准。</w:t>
      </w:r>
    </w:p>
    <w:p w14:paraId="5806E8A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1.8万元/期。</w:t>
      </w:r>
    </w:p>
    <w:p w14:paraId="311F7FA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lang w:val="en-US" w:eastAsia="zh-CN"/>
        </w:rPr>
        <w:t>4.供货期限：供货期限为3年（合同一年一签，供货价不得改变，执行本次中标价）。</w:t>
      </w:r>
    </w:p>
    <w:p w14:paraId="58E3198C">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四、投标保证金及履约保证金</w:t>
      </w:r>
    </w:p>
    <w:p w14:paraId="531A3685">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1.本项目投标保证金为人民币</w:t>
      </w:r>
      <w:r>
        <w:rPr>
          <w:rFonts w:hint="eastAsia" w:ascii="仿宋_GB2312" w:eastAsia="仿宋_GB2312" w:cs="仿宋_GB2312" w:hAnsiTheme="minorHAnsi"/>
          <w:kern w:val="2"/>
          <w:sz w:val="28"/>
          <w:szCs w:val="28"/>
          <w:u w:val="single"/>
          <w:lang w:val="en-US" w:eastAsia="zh-CN" w:bidi="ar-SA"/>
        </w:rPr>
        <w:t>2000元</w:t>
      </w:r>
      <w:r>
        <w:rPr>
          <w:rFonts w:hint="eastAsia" w:ascii="仿宋_GB2312" w:eastAsia="仿宋_GB2312" w:cs="仿宋_GB2312" w:hAnsiTheme="minorHAnsi"/>
          <w:kern w:val="2"/>
          <w:sz w:val="28"/>
          <w:szCs w:val="28"/>
          <w:lang w:val="en-US" w:eastAsia="zh-CN" w:bidi="ar-SA"/>
        </w:rPr>
        <w:t xml:space="preserve">，投标保证金必须使用银行本票或汇票形式，投标人未能按上述要求提交投标保证金的，招标人将视其为不响应投标而予以拒绝。 </w:t>
      </w:r>
    </w:p>
    <w:p w14:paraId="67A5A220">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2.投标保证金核验方式为：投标文件递交的同时，投标单位将本票或汇票直接提交给投标文件接收人员。未按上述要求提交保证金交款凭据的，投标文件将不予接收。 </w:t>
      </w:r>
    </w:p>
    <w:p w14:paraId="30FCD156">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3.若中标，投标保证金在合同签订后无息退还；未中标单位于现场退还投标保证金（无息退还）。中标人于签订合同</w:t>
      </w:r>
      <w:r>
        <w:rPr>
          <w:rFonts w:hint="eastAsia" w:ascii="仿宋_GB2312" w:eastAsia="仿宋_GB2312" w:cs="仿宋_GB2312"/>
          <w:kern w:val="2"/>
          <w:sz w:val="28"/>
          <w:szCs w:val="28"/>
          <w:lang w:val="en-US" w:eastAsia="zh-CN" w:bidi="ar-SA"/>
        </w:rPr>
        <w:t>前</w:t>
      </w:r>
      <w:r>
        <w:rPr>
          <w:rFonts w:hint="eastAsia" w:ascii="仿宋_GB2312" w:eastAsia="仿宋_GB2312" w:cs="仿宋_GB2312" w:hAnsiTheme="minorHAnsi"/>
          <w:kern w:val="2"/>
          <w:sz w:val="28"/>
          <w:szCs w:val="28"/>
          <w:lang w:val="en-US" w:eastAsia="zh-CN" w:bidi="ar-SA"/>
        </w:rPr>
        <w:t>向招标人指定账号缴纳</w:t>
      </w:r>
      <w:r>
        <w:rPr>
          <w:rFonts w:hint="eastAsia" w:ascii="仿宋_GB2312" w:eastAsia="仿宋_GB2312" w:cs="仿宋_GB2312" w:hAnsiTheme="minorHAnsi"/>
          <w:kern w:val="2"/>
          <w:sz w:val="28"/>
          <w:szCs w:val="28"/>
          <w:u w:val="single"/>
          <w:lang w:val="en-US" w:eastAsia="zh-CN" w:bidi="ar-SA"/>
        </w:rPr>
        <w:t>履约保证金</w:t>
      </w:r>
      <w:r>
        <w:rPr>
          <w:rFonts w:hint="eastAsia" w:ascii="仿宋_GB2312" w:eastAsia="仿宋_GB2312" w:cs="仿宋_GB2312"/>
          <w:kern w:val="2"/>
          <w:sz w:val="28"/>
          <w:szCs w:val="28"/>
          <w:u w:val="single"/>
          <w:lang w:val="en-US" w:eastAsia="zh-CN" w:bidi="ar-SA"/>
        </w:rPr>
        <w:t>3</w:t>
      </w:r>
      <w:r>
        <w:rPr>
          <w:rFonts w:hint="eastAsia" w:ascii="仿宋_GB2312" w:eastAsia="仿宋_GB2312" w:cs="仿宋_GB2312" w:hAnsiTheme="minorHAnsi"/>
          <w:kern w:val="2"/>
          <w:sz w:val="28"/>
          <w:szCs w:val="28"/>
          <w:u w:val="single"/>
          <w:lang w:val="en-US" w:eastAsia="zh-CN" w:bidi="ar-SA"/>
        </w:rPr>
        <w:t>000元</w:t>
      </w:r>
      <w:r>
        <w:rPr>
          <w:rFonts w:hint="eastAsia" w:ascii="仿宋_GB2312" w:eastAsia="仿宋_GB2312" w:cs="仿宋_GB2312" w:hAnsiTheme="minorHAnsi"/>
          <w:kern w:val="2"/>
          <w:sz w:val="28"/>
          <w:szCs w:val="28"/>
          <w:lang w:val="en-US" w:eastAsia="zh-CN" w:bidi="ar-SA"/>
        </w:rPr>
        <w:t xml:space="preserve">。 </w:t>
      </w:r>
    </w:p>
    <w:p w14:paraId="19FBA455">
      <w:pPr>
        <w:pStyle w:val="4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4.除不可抗力情况外，投标人发生下列任何情况之一，投标保证金将被没收，给招标人造成的损失超过投标保证金或履约保证金数额的，中标人还应当对超过部分予以赔偿： </w:t>
      </w:r>
    </w:p>
    <w:p w14:paraId="2D478AAC">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（1）投标人在投标有效期内撤回其投标； </w:t>
      </w:r>
    </w:p>
    <w:p w14:paraId="51027B38">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（2）中标人在规定期限内未签订合同； </w:t>
      </w:r>
    </w:p>
    <w:p w14:paraId="0EB44FCD">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（3）投标人提供的有关资料、资格证书被确认是不真实的； </w:t>
      </w:r>
    </w:p>
    <w:p w14:paraId="788734AC">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（4）投标人被证明有妨碍其他人公平竞争、损害招标人或者其他投标人合法权益的； </w:t>
      </w:r>
    </w:p>
    <w:p w14:paraId="6EFCB96D">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（5）投标人故意捏造事实或伪造证明材料，进行虚假恶意投诉或反映的。 </w:t>
      </w:r>
    </w:p>
    <w:p w14:paraId="06ED8A44">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 </w:t>
      </w:r>
    </w:p>
    <w:p w14:paraId="21695625">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6.履约保证金的退还：按合同要求供货并验收合格，供货期满后全额退还。 </w:t>
      </w:r>
    </w:p>
    <w:p w14:paraId="203ED396">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29CD5B3">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14:paraId="623BAAD2">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14:paraId="49E32CFD">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14:paraId="39558311">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20</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015962B8">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20</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6461495D">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w:t>
      </w:r>
      <w:r>
        <w:rPr>
          <w:rFonts w:hint="eastAsia" w:ascii="仿宋_GB2312" w:hAnsi="??" w:eastAsia="仿宋_GB2312"/>
          <w:color w:val="000000"/>
          <w:sz w:val="28"/>
          <w:szCs w:val="28"/>
          <w:lang w:val="en-US" w:eastAsia="zh-CN"/>
        </w:rPr>
        <w:t>江苏省盐城技师学院海洋路校区（盐城市盐都区海洋路29号匠心楼14楼1414会议室）</w:t>
      </w:r>
      <w:r>
        <w:rPr>
          <w:rFonts w:hint="eastAsia" w:ascii="仿宋_GB2312" w:hAnsi="??" w:eastAsia="仿宋_GB2312"/>
          <w:color w:val="000000"/>
          <w:sz w:val="28"/>
          <w:szCs w:val="28"/>
        </w:rPr>
        <w:t>；</w:t>
      </w:r>
    </w:p>
    <w:p w14:paraId="45007948">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14:paraId="6C12BEC1">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14:paraId="04A2EC5B">
      <w:pPr>
        <w:keepNext w:val="0"/>
        <w:keepLines w:val="0"/>
        <w:pageBreakBefore w:val="0"/>
        <w:kinsoku/>
        <w:wordWrap/>
        <w:overflowPunct/>
        <w:topLinePunct w:val="0"/>
        <w:autoSpaceDE/>
        <w:autoSpaceDN/>
        <w:bidi w:val="0"/>
        <w:spacing w:line="40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六、期望得到的协助与配合</w:t>
      </w:r>
    </w:p>
    <w:p w14:paraId="63BCE36D">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b/>
          <w:bCs/>
          <w:color w:val="000000"/>
          <w:sz w:val="28"/>
          <w:szCs w:val="28"/>
        </w:rPr>
      </w:pPr>
      <w:r>
        <w:rPr>
          <w:rFonts w:hint="eastAsia" w:ascii="仿宋" w:hAnsi="仿宋" w:eastAsia="仿宋" w:cs="仿宋"/>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/邵老师，</w:t>
      </w:r>
      <w:r>
        <w:rPr>
          <w:rFonts w:hint="eastAsia" w:ascii="仿宋" w:hAnsi="仿宋" w:eastAsia="仿宋" w:cs="仿宋"/>
          <w:color w:val="000000"/>
          <w:sz w:val="28"/>
          <w:szCs w:val="28"/>
        </w:rPr>
        <w:t>办公电话：0515—68661002），对于无故临时放弃投标的投标人，我校将根据情况将投标单位纳入招投标黑名单。对您的支持与配合，谨此致谢。</w:t>
      </w:r>
    </w:p>
    <w:p w14:paraId="4402F71B">
      <w:pPr>
        <w:keepNext w:val="0"/>
        <w:keepLines w:val="0"/>
        <w:pageBreakBefore w:val="0"/>
        <w:widowControl w:val="0"/>
        <w:shd w:val="clear" w:color="auto" w:fill="FFFFFF"/>
        <w:kinsoku/>
        <w:wordWrap/>
        <w:overflowPunct/>
        <w:topLinePunct w:val="0"/>
        <w:autoSpaceDE/>
        <w:autoSpaceDN/>
        <w:bidi w:val="0"/>
        <w:spacing w:line="400" w:lineRule="exact"/>
        <w:ind w:firstLine="562" w:firstLineChars="200"/>
        <w:textAlignment w:val="auto"/>
        <w:rPr>
          <w:rFonts w:hint="eastAsia" w:ascii="仿宋" w:hAnsi="仿宋" w:eastAsia="仿宋" w:cs="仿宋"/>
          <w:sz w:val="44"/>
        </w:rPr>
      </w:pPr>
      <w:r>
        <w:rPr>
          <w:rFonts w:hint="eastAsia" w:ascii="仿宋" w:hAnsi="仿宋" w:eastAsia="仿宋" w:cs="仿宋"/>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0088DE15">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特别提醒：</w:t>
      </w:r>
    </w:p>
    <w:p w14:paraId="2F374817">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14:paraId="6C3F76E7">
      <w:pPr>
        <w:keepNext w:val="0"/>
        <w:keepLines w:val="0"/>
        <w:pageBreakBefore w:val="0"/>
        <w:kinsoku/>
        <w:wordWrap/>
        <w:overflowPunct/>
        <w:topLinePunct w:val="0"/>
        <w:autoSpaceDE/>
        <w:autoSpaceDN/>
        <w:bidi w:val="0"/>
        <w:spacing w:line="40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七、其他</w:t>
      </w:r>
    </w:p>
    <w:p w14:paraId="42DE109F">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14:paraId="3B40A239">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14:paraId="2271877A">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14:paraId="01B097C4">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14:paraId="5E5581A1">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54"/>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7999"/>
      </w:tblGrid>
      <w:tr w14:paraId="41845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500" w:type="dxa"/>
            <w:noWrap w:val="0"/>
            <w:vAlign w:val="center"/>
          </w:tcPr>
          <w:p w14:paraId="2DD32384">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7999" w:type="dxa"/>
            <w:noWrap w:val="0"/>
            <w:vAlign w:val="center"/>
          </w:tcPr>
          <w:p w14:paraId="0B9B8843">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14:paraId="1849A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500" w:type="dxa"/>
            <w:noWrap w:val="0"/>
            <w:vAlign w:val="center"/>
          </w:tcPr>
          <w:p w14:paraId="03B5931D">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7999" w:type="dxa"/>
            <w:noWrap w:val="0"/>
            <w:vAlign w:val="center"/>
          </w:tcPr>
          <w:p w14:paraId="624F9119">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14:paraId="09C07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500" w:type="dxa"/>
            <w:noWrap w:val="0"/>
            <w:vAlign w:val="center"/>
          </w:tcPr>
          <w:p w14:paraId="4B0125C8">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7999" w:type="dxa"/>
            <w:noWrap w:val="0"/>
            <w:vAlign w:val="center"/>
          </w:tcPr>
          <w:p w14:paraId="0C7AE21D">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14:paraId="0B95B149">
      <w:pPr>
        <w:rPr>
          <w:rFonts w:hint="eastAsia"/>
        </w:rPr>
      </w:pPr>
    </w:p>
    <w:p w14:paraId="381021F1">
      <w:pPr>
        <w:pStyle w:val="46"/>
        <w:rPr>
          <w:rFonts w:hint="eastAsia"/>
        </w:rPr>
      </w:pPr>
    </w:p>
    <w:p w14:paraId="1CBA8172">
      <w:pPr>
        <w:snapToGrid w:val="0"/>
        <w:spacing w:line="500" w:lineRule="exact"/>
        <w:rPr>
          <w:rFonts w:eastAsia="宋体"/>
          <w:b/>
          <w:bCs/>
          <w:sz w:val="21"/>
          <w:szCs w:val="21"/>
        </w:rPr>
      </w:pPr>
      <w:bookmarkStart w:id="0" w:name="_GoBack"/>
      <w:bookmarkEnd w:id="0"/>
    </w:p>
    <w:p w14:paraId="32C043EE">
      <w:pPr>
        <w:pStyle w:val="70"/>
        <w:rPr>
          <w:rFonts w:hint="eastAsia"/>
          <w:lang w:eastAsia="zh-CN"/>
        </w:rPr>
      </w:pPr>
    </w:p>
    <w:sectPr>
      <w:headerReference r:id="rId3" w:type="default"/>
      <w:footerReference r:id="rId4"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 w:name="创艺简仿宋">
    <w:altName w:val="仿宋"/>
    <w:panose1 w:val="00000000000000000000"/>
    <w:charset w:val="86"/>
    <w:family w:val="auto"/>
    <w:pitch w:val="default"/>
    <w:sig w:usb0="00000000" w:usb1="00000000" w:usb2="00000010" w:usb3="00000000" w:csb0="00040000" w:csb1="00000000"/>
  </w:font>
  <w:font w:name="Menlo">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90D28">
    <w:pPr>
      <w:spacing w:line="200" w:lineRule="exact"/>
      <w:rPr>
        <w:sz w:val="20"/>
        <w:szCs w:val="20"/>
      </w:rPr>
    </w:pPr>
    <w:r>
      <w:rPr>
        <w:sz w:val="20"/>
      </w:rPr>
      <w:pict>
        <v:shape id="文本框 2058" o:spid="_x0000_s4099"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">
          <v:path/>
          <v:fill on="f" focussize="0,0"/>
          <v:stroke on="f" joinstyle="miter"/>
          <v:imagedata o:title=""/>
          <o:lock v:ext="edit"/>
          <v:textbox inset="0mm,0mm,0mm,0mm" style="mso-fit-shape-to-text:t;">
            <w:txbxContent>
              <w:p w14:paraId="6239582B">
                <w:pPr>
                  <w:pStyle w:val="30"/>
                </w:pPr>
                <w:r>
                  <w:fldChar w:fldCharType="begin"/>
                </w:r>
                <w:r>
                  <w:instrText xml:space="preserve"> PAGE  \* MERGEFORMAT </w:instrText>
                </w:r>
                <w:r>
                  <w:fldChar w:fldCharType="separate"/>
                </w:r>
                <w:r>
                  <w:t>17</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44224">
    <w:pPr>
      <w:pStyle w:val="32"/>
      <w:pBdr>
        <w:bottom w:val="none" w:color="auto" w:sz="0" w:space="0"/>
      </w:pBdr>
      <w:tabs>
        <w:tab w:val="left" w:pos="540"/>
      </w:tabs>
      <w:jc w:val="both"/>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multilevel"/>
    <w:tmpl w:val="00000013"/>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IyZjZjZmE5OGMwOTQ4YjM3ZGY2ZGNmMGE4MGM4NjIifQ=="/>
  </w:docVars>
  <w:rsids>
    <w:rsidRoot w:val="00FE28CC"/>
    <w:rsid w:val="00042D6A"/>
    <w:rsid w:val="000A249D"/>
    <w:rsid w:val="000B4601"/>
    <w:rsid w:val="00101126"/>
    <w:rsid w:val="001B6249"/>
    <w:rsid w:val="001E0A88"/>
    <w:rsid w:val="0027329F"/>
    <w:rsid w:val="002A4880"/>
    <w:rsid w:val="002C16EE"/>
    <w:rsid w:val="002F3166"/>
    <w:rsid w:val="00336F4E"/>
    <w:rsid w:val="003D30F5"/>
    <w:rsid w:val="003E1D89"/>
    <w:rsid w:val="003E247F"/>
    <w:rsid w:val="003F2927"/>
    <w:rsid w:val="004E4A01"/>
    <w:rsid w:val="004E59C7"/>
    <w:rsid w:val="005435FE"/>
    <w:rsid w:val="005D56AF"/>
    <w:rsid w:val="00631032"/>
    <w:rsid w:val="00637688"/>
    <w:rsid w:val="00655E46"/>
    <w:rsid w:val="006D1822"/>
    <w:rsid w:val="006E2DB1"/>
    <w:rsid w:val="0070261B"/>
    <w:rsid w:val="00710CE1"/>
    <w:rsid w:val="00794E76"/>
    <w:rsid w:val="00795FB0"/>
    <w:rsid w:val="007C3E49"/>
    <w:rsid w:val="00833C1B"/>
    <w:rsid w:val="008C75A5"/>
    <w:rsid w:val="00930A15"/>
    <w:rsid w:val="009D4B5E"/>
    <w:rsid w:val="00A07806"/>
    <w:rsid w:val="00A149ED"/>
    <w:rsid w:val="00AA6BE4"/>
    <w:rsid w:val="00AE1558"/>
    <w:rsid w:val="00B14AA0"/>
    <w:rsid w:val="00B66475"/>
    <w:rsid w:val="00B67D02"/>
    <w:rsid w:val="00BA6E61"/>
    <w:rsid w:val="00BF6224"/>
    <w:rsid w:val="00C47FCE"/>
    <w:rsid w:val="00C7027E"/>
    <w:rsid w:val="00CB1C25"/>
    <w:rsid w:val="00D9532C"/>
    <w:rsid w:val="00DC18B0"/>
    <w:rsid w:val="00E13A3D"/>
    <w:rsid w:val="00E17E5C"/>
    <w:rsid w:val="00E42D51"/>
    <w:rsid w:val="00E70B20"/>
    <w:rsid w:val="00F06983"/>
    <w:rsid w:val="00F15730"/>
    <w:rsid w:val="00FE28CC"/>
    <w:rsid w:val="00FE4DB0"/>
    <w:rsid w:val="00FF384D"/>
    <w:rsid w:val="1348227C"/>
    <w:rsid w:val="1C1B3256"/>
    <w:rsid w:val="1E4E44F6"/>
    <w:rsid w:val="20A93640"/>
    <w:rsid w:val="277C20CE"/>
    <w:rsid w:val="2EAF340D"/>
    <w:rsid w:val="32B4430F"/>
    <w:rsid w:val="35BF6A52"/>
    <w:rsid w:val="375362B0"/>
    <w:rsid w:val="41943621"/>
    <w:rsid w:val="421D751E"/>
    <w:rsid w:val="552B45E8"/>
    <w:rsid w:val="648368BF"/>
    <w:rsid w:val="69A65F81"/>
    <w:rsid w:val="73357F10"/>
    <w:rsid w:val="750B6C37"/>
    <w:rsid w:val="758B5193"/>
    <w:rsid w:val="77036E52"/>
    <w:rsid w:val="77213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3A7B2F-38A5-4DDF-B3D9-7EF175034717}">
  <ds:schemaRefs/>
</ds:datastoreItem>
</file>